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60" w:rsidRPr="00F059CA" w:rsidRDefault="00707E60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i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i/>
          <w:color w:val="000000"/>
          <w:lang w:eastAsia="en-AU"/>
        </w:rPr>
        <w:t xml:space="preserve">Environmental Planning and Assessment Act 1979  </w:t>
      </w:r>
    </w:p>
    <w:p w:rsidR="006108E8" w:rsidRPr="00F059CA" w:rsidRDefault="006108E8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i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i/>
          <w:color w:val="000000"/>
          <w:lang w:eastAsia="en-AU"/>
        </w:rPr>
        <w:t xml:space="preserve">Environmental Planning and Assessment Regulation 2000 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color w:val="000000"/>
          <w:lang w:eastAsia="en-AU"/>
        </w:rPr>
      </w:pPr>
    </w:p>
    <w:p w:rsidR="006108E8" w:rsidRDefault="00707E60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color w:val="000000"/>
          <w:lang w:eastAsia="en-AU"/>
        </w:rPr>
        <w:t>(</w:t>
      </w:r>
      <w:r w:rsidR="004A6842">
        <w:rPr>
          <w:rFonts w:ascii="Century Gothic" w:eastAsia="Times New Roman" w:hAnsi="Century Gothic" w:cs="Arial Narrow"/>
          <w:color w:val="000000"/>
          <w:lang w:eastAsia="en-AU"/>
        </w:rPr>
        <w:t>Clause 25E of the Regulation</w:t>
      </w:r>
      <w:r w:rsidR="006108E8" w:rsidRPr="00F059CA">
        <w:rPr>
          <w:rFonts w:ascii="Century Gothic" w:eastAsia="Times New Roman" w:hAnsi="Century Gothic" w:cs="Arial Narrow"/>
          <w:color w:val="000000"/>
          <w:lang w:eastAsia="en-AU"/>
        </w:rPr>
        <w:t xml:space="preserve">) 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color w:val="000000"/>
          <w:lang w:eastAsia="en-AU"/>
        </w:rPr>
      </w:pPr>
    </w:p>
    <w:p w:rsidR="004A6842" w:rsidRPr="00F059CA" w:rsidRDefault="004A6842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b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b/>
          <w:bCs/>
          <w:color w:val="000000"/>
          <w:lang w:eastAsia="en-AU"/>
        </w:rPr>
        <w:t xml:space="preserve">EXPLANATORY NOTE </w:t>
      </w:r>
    </w:p>
    <w:p w:rsidR="006108E8" w:rsidRDefault="006108E8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color w:val="000000"/>
          <w:lang w:eastAsia="en-AU"/>
        </w:rPr>
      </w:pPr>
    </w:p>
    <w:p w:rsidR="004A6842" w:rsidRPr="00F059CA" w:rsidRDefault="004A6842" w:rsidP="004A68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 Narrow"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Narrow"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b/>
          <w:bCs/>
          <w:color w:val="000000"/>
          <w:lang w:eastAsia="en-AU"/>
        </w:rPr>
        <w:t xml:space="preserve">DRAFT PLANNING AGREEMENT 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Narrow"/>
          <w:color w:val="000000"/>
          <w:lang w:eastAsia="en-AU"/>
        </w:rPr>
      </w:pPr>
    </w:p>
    <w:p w:rsidR="006108E8" w:rsidRPr="00F059CA" w:rsidRDefault="006F1019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Narrow"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color w:val="000000"/>
          <w:lang w:eastAsia="en-AU"/>
        </w:rPr>
        <w:t xml:space="preserve">Under </w:t>
      </w:r>
      <w:r w:rsidR="004A6842">
        <w:rPr>
          <w:rFonts w:ascii="Century Gothic" w:eastAsia="Times New Roman" w:hAnsi="Century Gothic" w:cs="Arial Narrow"/>
          <w:color w:val="000000"/>
          <w:lang w:eastAsia="en-AU"/>
        </w:rPr>
        <w:t xml:space="preserve">section </w:t>
      </w:r>
      <w:r w:rsidRPr="00F059CA">
        <w:rPr>
          <w:rFonts w:ascii="Century Gothic" w:eastAsia="Times New Roman" w:hAnsi="Century Gothic" w:cs="Arial Narrow"/>
          <w:color w:val="000000"/>
          <w:lang w:eastAsia="en-AU"/>
        </w:rPr>
        <w:t>93F</w:t>
      </w:r>
      <w:r w:rsidR="006108E8" w:rsidRPr="00F059CA">
        <w:rPr>
          <w:rFonts w:ascii="Century Gothic" w:eastAsia="Times New Roman" w:hAnsi="Century Gothic" w:cs="Arial Narrow"/>
          <w:color w:val="000000"/>
          <w:lang w:eastAsia="en-AU"/>
        </w:rPr>
        <w:t xml:space="preserve"> of the </w:t>
      </w:r>
      <w:r w:rsidR="006108E8" w:rsidRPr="00F059CA">
        <w:rPr>
          <w:rFonts w:ascii="Century Gothic" w:eastAsia="Times New Roman" w:hAnsi="Century Gothic" w:cs="Arial Narrow"/>
          <w:i/>
          <w:color w:val="000000"/>
          <w:lang w:eastAsia="en-AU"/>
        </w:rPr>
        <w:t>Environmental Planning and Assessment Act 1979</w:t>
      </w:r>
      <w:r w:rsidR="006108E8" w:rsidRPr="00F059CA">
        <w:rPr>
          <w:rFonts w:ascii="Century Gothic" w:eastAsia="Times New Roman" w:hAnsi="Century Gothic" w:cs="Arial Narrow"/>
          <w:color w:val="000000"/>
          <w:lang w:eastAsia="en-AU"/>
        </w:rPr>
        <w:t xml:space="preserve"> </w:t>
      </w:r>
      <w:r w:rsidR="0092524B">
        <w:rPr>
          <w:rFonts w:ascii="Century Gothic" w:eastAsia="Times New Roman" w:hAnsi="Century Gothic" w:cs="Arial Narrow"/>
          <w:color w:val="000000"/>
          <w:lang w:eastAsia="en-AU"/>
        </w:rPr>
        <w:t>(</w:t>
      </w:r>
      <w:r w:rsidR="0092524B" w:rsidRPr="0092524B">
        <w:rPr>
          <w:rFonts w:ascii="Century Gothic" w:eastAsia="Times New Roman" w:hAnsi="Century Gothic" w:cs="Arial Narrow"/>
          <w:b/>
          <w:color w:val="000000"/>
          <w:lang w:eastAsia="en-AU"/>
        </w:rPr>
        <w:t>the Act</w:t>
      </w:r>
      <w:r w:rsidR="0092524B">
        <w:rPr>
          <w:rFonts w:ascii="Century Gothic" w:eastAsia="Times New Roman" w:hAnsi="Century Gothic" w:cs="Arial Narrow"/>
          <w:color w:val="000000"/>
          <w:lang w:eastAsia="en-AU"/>
        </w:rPr>
        <w:t>)</w:t>
      </w:r>
    </w:p>
    <w:p w:rsidR="0070718D" w:rsidRPr="00F059CA" w:rsidRDefault="0070718D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 xml:space="preserve">PARTIES 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 Narrow"/>
          <w:b/>
          <w:bCs/>
          <w:color w:val="000000"/>
          <w:lang w:eastAsia="en-AU"/>
        </w:rPr>
      </w:pPr>
    </w:p>
    <w:p w:rsidR="006108E8" w:rsidRPr="00F059CA" w:rsidRDefault="00707E60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 Narrow"/>
          <w:b/>
          <w:bCs/>
          <w:color w:val="000000"/>
          <w:lang w:eastAsia="en-AU"/>
        </w:rPr>
        <w:t xml:space="preserve">City of Canterbury-Bankstown Council </w:t>
      </w:r>
      <w:r w:rsidR="006108E8" w:rsidRPr="00F059CA">
        <w:rPr>
          <w:rFonts w:ascii="Century Gothic" w:eastAsia="Times New Roman" w:hAnsi="Century Gothic" w:cs="Arial Narrow"/>
          <w:bCs/>
          <w:color w:val="000000"/>
          <w:lang w:eastAsia="en-AU"/>
        </w:rPr>
        <w:t xml:space="preserve">ABN </w:t>
      </w:r>
      <w:r w:rsidR="00254E16" w:rsidRPr="00254E16">
        <w:rPr>
          <w:rFonts w:ascii="Century Gothic" w:eastAsia="Times New Roman" w:hAnsi="Century Gothic" w:cs="Arial Narrow"/>
          <w:bCs/>
          <w:color w:val="000000"/>
          <w:lang w:eastAsia="en-AU"/>
        </w:rPr>
        <w:t>45 985 891 846</w:t>
      </w:r>
      <w:r w:rsidR="006108E8" w:rsidRPr="00F059CA">
        <w:rPr>
          <w:rFonts w:ascii="Century Gothic" w:eastAsia="Times New Roman" w:hAnsi="Century Gothic" w:cs="Arial Narrow"/>
          <w:b/>
          <w:bCs/>
          <w:color w:val="000000"/>
          <w:lang w:eastAsia="en-AU"/>
        </w:rPr>
        <w:t xml:space="preserve"> </w:t>
      </w:r>
      <w:r w:rsidR="006108E8" w:rsidRPr="00F059CA">
        <w:rPr>
          <w:rFonts w:ascii="Century Gothic" w:eastAsia="Times New Roman" w:hAnsi="Century Gothic" w:cs="Arial"/>
          <w:color w:val="000000"/>
          <w:lang w:eastAsia="en-AU"/>
        </w:rPr>
        <w:t xml:space="preserve">of </w:t>
      </w:r>
      <w:r w:rsidRPr="00F059CA">
        <w:rPr>
          <w:rFonts w:ascii="Century Gothic" w:eastAsia="Times New Roman" w:hAnsi="Century Gothic" w:cs="Arial"/>
          <w:color w:val="000000"/>
          <w:lang w:eastAsia="en-AU"/>
        </w:rPr>
        <w:t>137 Beamish Street</w:t>
      </w:r>
      <w:r w:rsidR="002F5792" w:rsidRPr="00F059CA">
        <w:rPr>
          <w:rFonts w:ascii="Century Gothic" w:eastAsia="Times New Roman" w:hAnsi="Century Gothic" w:cs="Arial"/>
          <w:color w:val="000000"/>
          <w:lang w:eastAsia="en-AU"/>
        </w:rPr>
        <w:t>, Campsie, NSW 2194</w:t>
      </w:r>
      <w:r w:rsidR="006108E8" w:rsidRPr="00F059CA">
        <w:rPr>
          <w:rFonts w:ascii="Century Gothic" w:eastAsia="Times New Roman" w:hAnsi="Century Gothic" w:cs="Arial"/>
          <w:color w:val="000000"/>
          <w:lang w:eastAsia="en-AU"/>
        </w:rPr>
        <w:t xml:space="preserve"> (</w:t>
      </w:r>
      <w:r w:rsidR="006108E8"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>Council</w:t>
      </w:r>
      <w:r w:rsidR="006108E8" w:rsidRPr="00F059CA">
        <w:rPr>
          <w:rFonts w:ascii="Century Gothic" w:eastAsia="Times New Roman" w:hAnsi="Century Gothic" w:cs="Arial"/>
          <w:color w:val="000000"/>
          <w:lang w:eastAsia="en-AU"/>
        </w:rPr>
        <w:t xml:space="preserve">) </w:t>
      </w:r>
    </w:p>
    <w:p w:rsidR="006108E8" w:rsidRPr="00F059CA" w:rsidRDefault="002F579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color w:val="000000"/>
          <w:lang w:eastAsia="en-AU"/>
        </w:rPr>
        <w:t>Dyna Constructions</w:t>
      </w:r>
      <w:r w:rsidR="006108E8" w:rsidRPr="00F059CA">
        <w:rPr>
          <w:rFonts w:ascii="Century Gothic" w:eastAsia="Times New Roman" w:hAnsi="Century Gothic" w:cs="Arial"/>
          <w:b/>
          <w:color w:val="000000"/>
          <w:lang w:eastAsia="en-AU"/>
        </w:rPr>
        <w:t xml:space="preserve"> Pty Limited</w:t>
      </w:r>
      <w:r w:rsidR="006F1019" w:rsidRPr="00F059CA">
        <w:rPr>
          <w:rFonts w:ascii="Century Gothic" w:eastAsia="Times New Roman" w:hAnsi="Century Gothic" w:cs="Arial"/>
          <w:color w:val="000000"/>
          <w:lang w:eastAsia="en-AU"/>
        </w:rPr>
        <w:t xml:space="preserve"> of </w:t>
      </w:r>
      <w:r w:rsidRPr="00F059CA">
        <w:rPr>
          <w:rFonts w:ascii="Century Gothic" w:eastAsia="Times New Roman" w:hAnsi="Century Gothic" w:cs="Arial"/>
          <w:color w:val="000000"/>
          <w:lang w:eastAsia="en-AU"/>
        </w:rPr>
        <w:t>Level 3, 8-10 King Street, Rockdale, NSW 2216</w:t>
      </w:r>
    </w:p>
    <w:p w:rsidR="006108E8" w:rsidRDefault="006108E8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color w:val="000000"/>
          <w:lang w:eastAsia="en-AU"/>
        </w:rPr>
        <w:t>(</w:t>
      </w:r>
      <w:r w:rsidR="006F1019" w:rsidRPr="00F059CA">
        <w:rPr>
          <w:rFonts w:ascii="Century Gothic" w:eastAsia="Times New Roman" w:hAnsi="Century Gothic" w:cs="Arial"/>
          <w:b/>
          <w:color w:val="000000"/>
          <w:lang w:eastAsia="en-AU"/>
        </w:rPr>
        <w:t>Developer</w:t>
      </w:r>
      <w:r w:rsidR="004A6842">
        <w:rPr>
          <w:rFonts w:ascii="Century Gothic" w:eastAsia="Times New Roman" w:hAnsi="Century Gothic" w:cs="Arial"/>
          <w:color w:val="000000"/>
          <w:lang w:eastAsia="en-AU"/>
        </w:rPr>
        <w:t>)</w:t>
      </w:r>
      <w:r w:rsidRPr="00F059CA">
        <w:rPr>
          <w:rFonts w:ascii="Century Gothic" w:eastAsia="Times New Roman" w:hAnsi="Century Gothic" w:cs="Arial"/>
          <w:color w:val="000000"/>
          <w:lang w:eastAsia="en-AU"/>
        </w:rPr>
        <w:t xml:space="preserve"> of Lot </w:t>
      </w:r>
      <w:r w:rsidR="002F5792" w:rsidRPr="00F059CA">
        <w:rPr>
          <w:rFonts w:ascii="Century Gothic" w:eastAsia="Times New Roman" w:hAnsi="Century Gothic" w:cs="Arial"/>
          <w:color w:val="000000"/>
          <w:lang w:eastAsia="en-AU"/>
        </w:rPr>
        <w:t>35 and 36 Section A in</w:t>
      </w:r>
      <w:r w:rsidRPr="00F059CA">
        <w:rPr>
          <w:rFonts w:ascii="Century Gothic" w:eastAsia="Times New Roman" w:hAnsi="Century Gothic" w:cs="Arial"/>
          <w:color w:val="000000"/>
          <w:lang w:eastAsia="en-AU"/>
        </w:rPr>
        <w:t xml:space="preserve"> DP </w:t>
      </w:r>
      <w:r w:rsidR="002F5792" w:rsidRPr="00F059CA">
        <w:rPr>
          <w:rFonts w:ascii="Century Gothic" w:eastAsia="Times New Roman" w:hAnsi="Century Gothic" w:cs="Arial"/>
          <w:color w:val="000000"/>
          <w:lang w:eastAsia="en-AU"/>
        </w:rPr>
        <w:t>2785</w:t>
      </w:r>
      <w:r w:rsidRPr="00F059CA">
        <w:rPr>
          <w:rFonts w:ascii="Century Gothic" w:eastAsia="Times New Roman" w:hAnsi="Century Gothic" w:cs="Arial"/>
          <w:color w:val="000000"/>
          <w:lang w:eastAsia="en-AU"/>
        </w:rPr>
        <w:t>)</w:t>
      </w:r>
    </w:p>
    <w:p w:rsidR="004A6842" w:rsidRPr="00F059CA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>DESCRIPTION OF LAND TO WHICH THIS D</w:t>
      </w:r>
      <w:r>
        <w:rPr>
          <w:rFonts w:ascii="Century Gothic" w:eastAsia="Times New Roman" w:hAnsi="Century Gothic" w:cs="Arial"/>
          <w:b/>
          <w:bCs/>
          <w:color w:val="000000"/>
          <w:lang w:eastAsia="en-AU"/>
        </w:rPr>
        <w:t>RAFT PLANNING AGREEMENT APPLIES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6108E8" w:rsidRDefault="006108E8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>Lot</w:t>
      </w:r>
      <w:r w:rsidR="002F5792" w:rsidRPr="00F059CA">
        <w:rPr>
          <w:rFonts w:ascii="Century Gothic" w:eastAsia="Times New Roman" w:hAnsi="Century Gothic" w:cs="Arial"/>
          <w:bCs/>
          <w:color w:val="000000"/>
          <w:lang w:eastAsia="en-AU"/>
        </w:rPr>
        <w:t>s 35 and 36 DP 2785</w:t>
      </w: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 xml:space="preserve"> </w:t>
      </w:r>
      <w:r w:rsidR="0070718D" w:rsidRPr="00F059CA">
        <w:rPr>
          <w:rFonts w:ascii="Century Gothic" w:eastAsia="Times New Roman" w:hAnsi="Century Gothic" w:cs="Arial"/>
          <w:bCs/>
          <w:color w:val="000000"/>
          <w:lang w:eastAsia="en-AU"/>
        </w:rPr>
        <w:t xml:space="preserve">being land at 297-299 Canterbury Road, Canterbury </w:t>
      </w:r>
      <w:r w:rsidR="00254E16">
        <w:rPr>
          <w:rFonts w:ascii="Century Gothic" w:eastAsia="Times New Roman" w:hAnsi="Century Gothic" w:cs="Arial"/>
          <w:bCs/>
          <w:color w:val="000000"/>
          <w:lang w:eastAsia="en-AU"/>
        </w:rPr>
        <w:t>(</w:t>
      </w: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>Land</w:t>
      </w: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>)</w:t>
      </w:r>
    </w:p>
    <w:p w:rsidR="0092524B" w:rsidRDefault="0092524B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92524B" w:rsidRDefault="0092524B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  <w:r w:rsidRPr="0092524B">
        <w:rPr>
          <w:rFonts w:ascii="Century Gothic" w:eastAsia="Times New Roman" w:hAnsi="Century Gothic" w:cs="Arial"/>
          <w:b/>
          <w:bCs/>
          <w:color w:val="000000"/>
          <w:lang w:eastAsia="en-AU"/>
        </w:rPr>
        <w:t>DESCRIPTION OF DEVELOPMENT APPLICATION</w:t>
      </w:r>
    </w:p>
    <w:p w:rsidR="0092524B" w:rsidRDefault="0092524B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92524B" w:rsidRPr="0092524B" w:rsidRDefault="0092524B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>
        <w:rPr>
          <w:rFonts w:ascii="Century Gothic" w:eastAsia="Times New Roman" w:hAnsi="Century Gothic" w:cs="Arial"/>
          <w:bCs/>
          <w:color w:val="000000"/>
          <w:lang w:eastAsia="en-AU"/>
        </w:rPr>
        <w:t>On 17 March 2016 the Developer lodged Development Application DA 127/2016 in relation to the Land. The Land and Environment Court of New South Wales made orders on 25 November 2016 granting consent to the DA subject to conditions (</w:t>
      </w:r>
      <w:r w:rsidRPr="0092524B">
        <w:rPr>
          <w:rFonts w:ascii="Century Gothic" w:eastAsia="Times New Roman" w:hAnsi="Century Gothic" w:cs="Arial"/>
          <w:b/>
          <w:bCs/>
          <w:color w:val="000000"/>
          <w:lang w:eastAsia="en-AU"/>
        </w:rPr>
        <w:t>Consent</w:t>
      </w:r>
      <w:r>
        <w:rPr>
          <w:rFonts w:ascii="Century Gothic" w:eastAsia="Times New Roman" w:hAnsi="Century Gothic" w:cs="Arial"/>
          <w:bCs/>
          <w:color w:val="000000"/>
          <w:lang w:eastAsia="en-AU"/>
        </w:rPr>
        <w:t>). The deferred commencement condition 1A of the Consent required that the Developer enter a P</w:t>
      </w:r>
      <w:r w:rsidR="00EB143A">
        <w:rPr>
          <w:rFonts w:ascii="Century Gothic" w:eastAsia="Times New Roman" w:hAnsi="Century Gothic" w:cs="Arial"/>
          <w:bCs/>
          <w:color w:val="000000"/>
          <w:lang w:eastAsia="en-AU"/>
        </w:rPr>
        <w:t xml:space="preserve">lanning Agreement pursuant to section </w:t>
      </w:r>
      <w:r>
        <w:rPr>
          <w:rFonts w:ascii="Century Gothic" w:eastAsia="Times New Roman" w:hAnsi="Century Gothic" w:cs="Arial"/>
          <w:bCs/>
          <w:color w:val="000000"/>
          <w:lang w:eastAsia="en-AU"/>
        </w:rPr>
        <w:t>93F of the Act.</w:t>
      </w:r>
    </w:p>
    <w:p w:rsidR="0092524B" w:rsidRPr="00F059CA" w:rsidRDefault="0092524B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</w:p>
    <w:p w:rsidR="0070718D" w:rsidRPr="00F059CA" w:rsidRDefault="0070718D" w:rsidP="004A6842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 xml:space="preserve">SUMMARY OF OBJECTIVES, NATURE AND EFFECT OF THE DRAFT PLANNING AGREEMENT 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</w:p>
    <w:p w:rsidR="006108E8" w:rsidRPr="009A0EF0" w:rsidRDefault="006108E8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color w:val="000000"/>
          <w:lang w:eastAsia="en-AU"/>
        </w:rPr>
        <w:t>The Objectives</w:t>
      </w: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>, Nature and Effect</w:t>
      </w:r>
      <w:r w:rsidRPr="00F059CA">
        <w:rPr>
          <w:rFonts w:ascii="Century Gothic" w:eastAsia="Times New Roman" w:hAnsi="Century Gothic" w:cs="Arial"/>
          <w:color w:val="000000"/>
          <w:lang w:eastAsia="en-AU"/>
        </w:rPr>
        <w:t xml:space="preserve"> of the Draft Planning Agreement is to </w:t>
      </w:r>
      <w:r w:rsidR="00254E16">
        <w:rPr>
          <w:rFonts w:ascii="Century Gothic" w:eastAsia="Times New Roman" w:hAnsi="Century Gothic" w:cs="Arial"/>
          <w:color w:val="000000"/>
          <w:lang w:eastAsia="en-AU"/>
        </w:rPr>
        <w:t>pr</w:t>
      </w:r>
      <w:bookmarkStart w:id="0" w:name="_GoBack"/>
      <w:bookmarkEnd w:id="0"/>
      <w:r w:rsidR="00254E16">
        <w:rPr>
          <w:rFonts w:ascii="Century Gothic" w:eastAsia="Times New Roman" w:hAnsi="Century Gothic" w:cs="Arial"/>
          <w:color w:val="000000"/>
          <w:lang w:eastAsia="en-AU"/>
        </w:rPr>
        <w:t>ovide</w:t>
      </w:r>
      <w:r w:rsidR="009A0EF0">
        <w:rPr>
          <w:rFonts w:ascii="Century Gothic" w:eastAsia="Times New Roman" w:hAnsi="Century Gothic" w:cs="Arial"/>
          <w:color w:val="000000"/>
          <w:lang w:eastAsia="en-AU"/>
        </w:rPr>
        <w:t xml:space="preserve"> </w:t>
      </w:r>
      <w:r w:rsidR="00254E16" w:rsidRPr="009A0EF0">
        <w:rPr>
          <w:rFonts w:ascii="Century Gothic" w:eastAsia="Times New Roman" w:hAnsi="Century Gothic" w:cs="Arial"/>
          <w:color w:val="000000"/>
          <w:lang w:eastAsia="en-AU"/>
        </w:rPr>
        <w:t xml:space="preserve">for </w:t>
      </w:r>
      <w:r w:rsidR="00E8038A">
        <w:rPr>
          <w:rFonts w:ascii="Century Gothic" w:eastAsia="Times New Roman" w:hAnsi="Century Gothic" w:cs="Arial"/>
          <w:color w:val="000000"/>
          <w:lang w:eastAsia="en-AU"/>
        </w:rPr>
        <w:t>laneway widening at the L</w:t>
      </w:r>
      <w:r w:rsidR="004227C9">
        <w:rPr>
          <w:rFonts w:ascii="Century Gothic" w:eastAsia="Times New Roman" w:hAnsi="Century Gothic" w:cs="Arial"/>
          <w:color w:val="000000"/>
          <w:lang w:eastAsia="en-AU"/>
        </w:rPr>
        <w:t>and in return for an offset in</w:t>
      </w:r>
      <w:r w:rsidR="00E8038A">
        <w:rPr>
          <w:rFonts w:ascii="Century Gothic" w:eastAsia="Times New Roman" w:hAnsi="Century Gothic" w:cs="Arial"/>
          <w:color w:val="000000"/>
          <w:lang w:eastAsia="en-AU"/>
        </w:rPr>
        <w:t xml:space="preserve"> </w:t>
      </w:r>
      <w:r w:rsidR="00511FB2">
        <w:rPr>
          <w:rFonts w:ascii="Century Gothic" w:eastAsia="Times New Roman" w:hAnsi="Century Gothic" w:cs="Arial"/>
          <w:color w:val="000000"/>
          <w:lang w:eastAsia="en-AU"/>
        </w:rPr>
        <w:t>s</w:t>
      </w:r>
      <w:r w:rsidR="004227C9">
        <w:rPr>
          <w:rFonts w:ascii="Century Gothic" w:eastAsia="Times New Roman" w:hAnsi="Century Gothic" w:cs="Arial"/>
          <w:color w:val="000000"/>
          <w:lang w:eastAsia="en-AU"/>
        </w:rPr>
        <w:t>ection</w:t>
      </w:r>
      <w:r w:rsidR="00E8038A">
        <w:rPr>
          <w:rFonts w:ascii="Century Gothic" w:eastAsia="Times New Roman" w:hAnsi="Century Gothic" w:cs="Arial"/>
          <w:color w:val="000000"/>
          <w:lang w:eastAsia="en-AU"/>
        </w:rPr>
        <w:t xml:space="preserve"> 94 </w:t>
      </w:r>
      <w:r w:rsidR="00511FB2">
        <w:rPr>
          <w:rFonts w:ascii="Century Gothic" w:eastAsia="Times New Roman" w:hAnsi="Century Gothic" w:cs="Arial"/>
          <w:color w:val="000000"/>
          <w:lang w:eastAsia="en-AU"/>
        </w:rPr>
        <w:t>c</w:t>
      </w:r>
      <w:r w:rsidR="00E8038A">
        <w:rPr>
          <w:rFonts w:ascii="Century Gothic" w:eastAsia="Times New Roman" w:hAnsi="Century Gothic" w:cs="Arial"/>
          <w:color w:val="000000"/>
          <w:lang w:eastAsia="en-AU"/>
        </w:rPr>
        <w:t>ontributions in the amount of $150,000.00.</w:t>
      </w:r>
    </w:p>
    <w:p w:rsidR="00254E16" w:rsidRDefault="00254E16" w:rsidP="004A684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>ASSESSMENT OF THE MERITS OF THE DRAFT PLANNING AGREEMENT</w:t>
      </w: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entury Gothic" w:eastAsia="Times New Roman" w:hAnsi="Century Gothic" w:cs="Arial"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 xml:space="preserve">THE PLANNING PURPOSES SERVED BY THE PLANNING AGREEMENT 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6108E8" w:rsidRDefault="006108E8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 xml:space="preserve">The Planning Agreement reasonably provides for the achievement of the following </w:t>
      </w:r>
      <w:r w:rsidR="0070718D" w:rsidRPr="00F059CA">
        <w:rPr>
          <w:rFonts w:ascii="Century Gothic" w:eastAsia="Times New Roman" w:hAnsi="Century Gothic" w:cs="Arial"/>
          <w:bCs/>
          <w:color w:val="000000"/>
          <w:lang w:eastAsia="en-AU"/>
        </w:rPr>
        <w:t>planning purpose</w:t>
      </w:r>
      <w:r w:rsidR="004227C9">
        <w:rPr>
          <w:rFonts w:ascii="Century Gothic" w:eastAsia="Times New Roman" w:hAnsi="Century Gothic" w:cs="Arial"/>
          <w:bCs/>
          <w:color w:val="000000"/>
          <w:lang w:eastAsia="en-AU"/>
        </w:rPr>
        <w:t>s</w:t>
      </w: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>:</w:t>
      </w:r>
    </w:p>
    <w:p w:rsidR="004A6842" w:rsidRPr="00F059CA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6108E8" w:rsidRDefault="00CE3792" w:rsidP="009252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>
        <w:rPr>
          <w:rFonts w:ascii="Century Gothic" w:eastAsia="Times New Roman" w:hAnsi="Century Gothic" w:cs="Arial"/>
          <w:bCs/>
          <w:color w:val="000000"/>
          <w:lang w:eastAsia="en-AU"/>
        </w:rPr>
        <w:t>t</w:t>
      </w:r>
      <w:r w:rsidR="00E8038A">
        <w:rPr>
          <w:rFonts w:ascii="Century Gothic" w:eastAsia="Times New Roman" w:hAnsi="Century Gothic" w:cs="Arial"/>
          <w:bCs/>
          <w:color w:val="000000"/>
          <w:lang w:eastAsia="en-AU"/>
        </w:rPr>
        <w:t xml:space="preserve">o provide for a </w:t>
      </w:r>
      <w:r w:rsidR="0070718D" w:rsidRPr="00F059CA">
        <w:rPr>
          <w:rFonts w:ascii="Century Gothic" w:eastAsia="Times New Roman" w:hAnsi="Century Gothic" w:cs="Arial"/>
          <w:bCs/>
          <w:color w:val="000000"/>
          <w:lang w:eastAsia="en-AU"/>
        </w:rPr>
        <w:t>continuous</w:t>
      </w:r>
      <w:r w:rsidR="001072BD" w:rsidRPr="00F059CA">
        <w:rPr>
          <w:rFonts w:ascii="Century Gothic" w:eastAsia="Times New Roman" w:hAnsi="Century Gothic" w:cs="Arial"/>
          <w:bCs/>
          <w:color w:val="000000"/>
          <w:lang w:eastAsia="en-AU"/>
        </w:rPr>
        <w:t xml:space="preserve"> network of rear laneways to be </w:t>
      </w:r>
      <w:r w:rsidR="0070718D" w:rsidRPr="00F059CA">
        <w:rPr>
          <w:rFonts w:ascii="Century Gothic" w:eastAsia="Times New Roman" w:hAnsi="Century Gothic" w:cs="Arial"/>
          <w:bCs/>
          <w:color w:val="000000"/>
          <w:lang w:eastAsia="en-AU"/>
        </w:rPr>
        <w:t>completed</w:t>
      </w:r>
      <w:r>
        <w:rPr>
          <w:rFonts w:ascii="Century Gothic" w:eastAsia="Times New Roman" w:hAnsi="Century Gothic" w:cs="Arial"/>
          <w:bCs/>
          <w:color w:val="000000"/>
          <w:lang w:eastAsia="en-AU"/>
        </w:rPr>
        <w:t xml:space="preserve"> in the short term; and</w:t>
      </w:r>
    </w:p>
    <w:p w:rsidR="00CE3792" w:rsidRPr="00F059CA" w:rsidRDefault="00CE3792" w:rsidP="009252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proofErr w:type="gramStart"/>
      <w:r>
        <w:rPr>
          <w:rFonts w:ascii="Century Gothic" w:eastAsia="Times New Roman" w:hAnsi="Century Gothic" w:cs="Arial"/>
          <w:bCs/>
          <w:color w:val="000000"/>
          <w:lang w:eastAsia="en-AU"/>
        </w:rPr>
        <w:t>to</w:t>
      </w:r>
      <w:proofErr w:type="gramEnd"/>
      <w:r>
        <w:rPr>
          <w:rFonts w:ascii="Century Gothic" w:eastAsia="Times New Roman" w:hAnsi="Century Gothic" w:cs="Arial"/>
          <w:bCs/>
          <w:color w:val="000000"/>
          <w:lang w:eastAsia="en-AU"/>
        </w:rPr>
        <w:t xml:space="preserve"> promote the orderly and economic use and development of the Land to which the </w:t>
      </w:r>
      <w:r w:rsidR="006B622A">
        <w:rPr>
          <w:rFonts w:ascii="Century Gothic" w:eastAsia="Times New Roman" w:hAnsi="Century Gothic" w:cs="Arial"/>
          <w:bCs/>
          <w:color w:val="000000"/>
          <w:lang w:eastAsia="en-AU"/>
        </w:rPr>
        <w:t>a</w:t>
      </w:r>
      <w:r>
        <w:rPr>
          <w:rFonts w:ascii="Century Gothic" w:eastAsia="Times New Roman" w:hAnsi="Century Gothic" w:cs="Arial"/>
          <w:bCs/>
          <w:color w:val="000000"/>
          <w:lang w:eastAsia="en-AU"/>
        </w:rPr>
        <w:t>greement applies.</w:t>
      </w:r>
    </w:p>
    <w:p w:rsidR="0070718D" w:rsidRPr="00F059CA" w:rsidRDefault="0070718D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92524B" w:rsidRDefault="0092524B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6108E8" w:rsidRPr="00F059CA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lastRenderedPageBreak/>
        <w:t xml:space="preserve">HOW THE </w:t>
      </w:r>
      <w:r>
        <w:rPr>
          <w:rFonts w:ascii="Century Gothic" w:eastAsia="Times New Roman" w:hAnsi="Century Gothic" w:cs="Arial"/>
          <w:b/>
          <w:bCs/>
          <w:color w:val="000000"/>
          <w:lang w:eastAsia="en-AU"/>
        </w:rPr>
        <w:t xml:space="preserve">DRAFT </w:t>
      </w:r>
      <w:r w:rsidRPr="00F059CA">
        <w:rPr>
          <w:rFonts w:ascii="Century Gothic" w:eastAsia="Times New Roman" w:hAnsi="Century Gothic" w:cs="Arial"/>
          <w:b/>
          <w:bCs/>
          <w:color w:val="000000"/>
          <w:lang w:eastAsia="en-AU"/>
        </w:rPr>
        <w:t>PLANNING AGREEMENT PROMOTES THE PUBLIC INTEREST</w:t>
      </w:r>
    </w:p>
    <w:p w:rsidR="0092524B" w:rsidRDefault="001072BD" w:rsidP="0092524B">
      <w:pPr>
        <w:autoSpaceDE w:val="0"/>
        <w:autoSpaceDN w:val="0"/>
        <w:adjustRightInd w:val="0"/>
        <w:spacing w:before="240"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 w:rsidRPr="00F059CA">
        <w:rPr>
          <w:rFonts w:ascii="Century Gothic" w:eastAsia="Times New Roman" w:hAnsi="Century Gothic" w:cs="Arial"/>
          <w:bCs/>
          <w:color w:val="000000"/>
          <w:lang w:eastAsia="en-AU"/>
        </w:rPr>
        <w:t xml:space="preserve">The </w:t>
      </w:r>
      <w:r w:rsidR="00254E16">
        <w:rPr>
          <w:rFonts w:ascii="Century Gothic" w:eastAsia="Times New Roman" w:hAnsi="Century Gothic" w:cs="Arial"/>
          <w:bCs/>
          <w:color w:val="000000"/>
          <w:lang w:eastAsia="en-AU"/>
        </w:rPr>
        <w:t>development will allow for</w:t>
      </w:r>
      <w:r w:rsidR="004227C9">
        <w:rPr>
          <w:rFonts w:ascii="Century Gothic" w:eastAsia="Times New Roman" w:hAnsi="Century Gothic" w:cs="Arial"/>
          <w:bCs/>
          <w:color w:val="000000"/>
          <w:lang w:eastAsia="en-AU"/>
        </w:rPr>
        <w:t xml:space="preserve"> vehicles accessing</w:t>
      </w:r>
      <w:r w:rsidR="00254E16">
        <w:rPr>
          <w:rFonts w:ascii="Century Gothic" w:eastAsia="Times New Roman" w:hAnsi="Century Gothic" w:cs="Arial"/>
          <w:bCs/>
          <w:color w:val="000000"/>
          <w:lang w:eastAsia="en-AU"/>
        </w:rPr>
        <w:t xml:space="preserve"> adjoin</w:t>
      </w:r>
      <w:r w:rsidR="009A0EF0">
        <w:rPr>
          <w:rFonts w:ascii="Century Gothic" w:eastAsia="Times New Roman" w:hAnsi="Century Gothic" w:cs="Arial"/>
          <w:bCs/>
          <w:color w:val="000000"/>
          <w:lang w:eastAsia="en-AU"/>
        </w:rPr>
        <w:t>ing</w:t>
      </w:r>
      <w:r w:rsidR="00254E16">
        <w:rPr>
          <w:rFonts w:ascii="Century Gothic" w:eastAsia="Times New Roman" w:hAnsi="Century Gothic" w:cs="Arial"/>
          <w:bCs/>
          <w:color w:val="000000"/>
          <w:lang w:eastAsia="en-AU"/>
        </w:rPr>
        <w:t xml:space="preserve"> sites</w:t>
      </w:r>
      <w:r w:rsidR="00CE3792">
        <w:rPr>
          <w:rFonts w:ascii="Century Gothic" w:eastAsia="Times New Roman" w:hAnsi="Century Gothic" w:cs="Arial"/>
          <w:bCs/>
          <w:color w:val="000000"/>
          <w:lang w:eastAsia="en-AU"/>
        </w:rPr>
        <w:t xml:space="preserve"> and other road users</w:t>
      </w:r>
      <w:r w:rsidR="00254E16">
        <w:rPr>
          <w:rFonts w:ascii="Century Gothic" w:eastAsia="Times New Roman" w:hAnsi="Century Gothic" w:cs="Arial"/>
          <w:bCs/>
          <w:color w:val="000000"/>
          <w:lang w:eastAsia="en-AU"/>
        </w:rPr>
        <w:t xml:space="preserve"> </w:t>
      </w:r>
      <w:r w:rsidR="00182547">
        <w:rPr>
          <w:rFonts w:ascii="Century Gothic" w:eastAsia="Times New Roman" w:hAnsi="Century Gothic" w:cs="Arial"/>
          <w:bCs/>
          <w:color w:val="000000"/>
          <w:lang w:eastAsia="en-AU"/>
        </w:rPr>
        <w:t xml:space="preserve">to </w:t>
      </w:r>
      <w:r w:rsidR="004227C9">
        <w:rPr>
          <w:rFonts w:ascii="Century Gothic" w:eastAsia="Times New Roman" w:hAnsi="Century Gothic" w:cs="Arial"/>
          <w:bCs/>
          <w:color w:val="000000"/>
          <w:lang w:eastAsia="en-AU"/>
        </w:rPr>
        <w:t xml:space="preserve">utilise </w:t>
      </w:r>
      <w:r w:rsidR="009A0EF0">
        <w:rPr>
          <w:rFonts w:ascii="Century Gothic" w:eastAsia="Times New Roman" w:hAnsi="Century Gothic" w:cs="Arial"/>
          <w:bCs/>
          <w:color w:val="000000"/>
          <w:lang w:eastAsia="en-AU"/>
        </w:rPr>
        <w:t>a functional laneway along the Land when redeveloped. It provides for local development in a manner that results in</w:t>
      </w:r>
      <w:r w:rsidR="004227C9">
        <w:rPr>
          <w:rFonts w:ascii="Century Gothic" w:eastAsia="Times New Roman" w:hAnsi="Century Gothic" w:cs="Arial"/>
          <w:bCs/>
          <w:color w:val="000000"/>
          <w:lang w:eastAsia="en-AU"/>
        </w:rPr>
        <w:t xml:space="preserve"> a</w:t>
      </w:r>
      <w:r w:rsidR="009A0EF0">
        <w:rPr>
          <w:rFonts w:ascii="Century Gothic" w:eastAsia="Times New Roman" w:hAnsi="Century Gothic" w:cs="Arial"/>
          <w:bCs/>
          <w:color w:val="000000"/>
          <w:lang w:eastAsia="en-AU"/>
        </w:rPr>
        <w:t xml:space="preserve"> broader public benefit</w:t>
      </w:r>
      <w:r w:rsidR="00CE3792">
        <w:rPr>
          <w:rFonts w:ascii="Century Gothic" w:eastAsia="Times New Roman" w:hAnsi="Century Gothic" w:cs="Arial"/>
          <w:bCs/>
          <w:color w:val="000000"/>
          <w:lang w:eastAsia="en-AU"/>
        </w:rPr>
        <w:t xml:space="preserve"> </w:t>
      </w:r>
      <w:r w:rsidR="004227C9">
        <w:rPr>
          <w:rFonts w:ascii="Century Gothic" w:eastAsia="Times New Roman" w:hAnsi="Century Gothic" w:cs="Arial"/>
          <w:bCs/>
          <w:color w:val="000000"/>
          <w:lang w:eastAsia="en-AU"/>
        </w:rPr>
        <w:t xml:space="preserve">and will ensure that the </w:t>
      </w:r>
      <w:r w:rsidR="00CE3792">
        <w:rPr>
          <w:rFonts w:ascii="Century Gothic" w:eastAsia="Times New Roman" w:hAnsi="Century Gothic" w:cs="Arial"/>
          <w:bCs/>
          <w:color w:val="000000"/>
          <w:lang w:eastAsia="en-AU"/>
        </w:rPr>
        <w:t>development functions properly</w:t>
      </w:r>
      <w:r w:rsidR="009A0EF0">
        <w:rPr>
          <w:rFonts w:ascii="Century Gothic" w:eastAsia="Times New Roman" w:hAnsi="Century Gothic" w:cs="Arial"/>
          <w:bCs/>
          <w:color w:val="000000"/>
          <w:lang w:eastAsia="en-AU"/>
        </w:rPr>
        <w:t xml:space="preserve">. </w:t>
      </w:r>
    </w:p>
    <w:p w:rsidR="006B622A" w:rsidRPr="0092524B" w:rsidRDefault="004A6842" w:rsidP="0092524B">
      <w:pPr>
        <w:autoSpaceDE w:val="0"/>
        <w:autoSpaceDN w:val="0"/>
        <w:adjustRightInd w:val="0"/>
        <w:spacing w:before="240"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 w:rsidRPr="006B622A">
        <w:rPr>
          <w:rFonts w:ascii="Century Gothic" w:eastAsia="Times New Roman" w:hAnsi="Century Gothic" w:cs="Arial"/>
          <w:b/>
          <w:bCs/>
          <w:color w:val="000000"/>
          <w:lang w:eastAsia="en-AU"/>
        </w:rPr>
        <w:t>HOW THE PLANNING AGREEMENT PROMOTES THE ELEMENTS OF THE COUNCIL’S CHARTER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B42F57" w:rsidRDefault="0050255D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>
        <w:rPr>
          <w:rFonts w:ascii="Century Gothic" w:eastAsia="Times New Roman" w:hAnsi="Century Gothic" w:cs="Arial"/>
          <w:bCs/>
          <w:color w:val="000000"/>
          <w:lang w:eastAsia="en-AU"/>
        </w:rPr>
        <w:t xml:space="preserve">The Planning Agreement, by making provision for laneway widening at the Land in return for an offset from </w:t>
      </w:r>
      <w:r w:rsidR="00511FB2">
        <w:rPr>
          <w:rFonts w:ascii="Century Gothic" w:eastAsia="Times New Roman" w:hAnsi="Century Gothic" w:cs="Arial"/>
          <w:bCs/>
          <w:color w:val="000000"/>
          <w:lang w:eastAsia="en-AU"/>
        </w:rPr>
        <w:t>s</w:t>
      </w:r>
      <w:r>
        <w:rPr>
          <w:rFonts w:ascii="Century Gothic" w:eastAsia="Times New Roman" w:hAnsi="Century Gothic" w:cs="Arial"/>
          <w:bCs/>
          <w:color w:val="000000"/>
          <w:lang w:eastAsia="en-AU"/>
        </w:rPr>
        <w:t xml:space="preserve">ection 94 </w:t>
      </w:r>
      <w:r w:rsidR="00511FB2">
        <w:rPr>
          <w:rFonts w:ascii="Century Gothic" w:eastAsia="Times New Roman" w:hAnsi="Century Gothic" w:cs="Arial"/>
          <w:bCs/>
          <w:color w:val="000000"/>
          <w:lang w:eastAsia="en-AU"/>
        </w:rPr>
        <w:t>c</w:t>
      </w:r>
      <w:r>
        <w:rPr>
          <w:rFonts w:ascii="Century Gothic" w:eastAsia="Times New Roman" w:hAnsi="Century Gothic" w:cs="Arial"/>
          <w:bCs/>
          <w:color w:val="000000"/>
          <w:lang w:eastAsia="en-AU"/>
        </w:rPr>
        <w:t>ontributions, benefits the wider community and promotes the following elements of the Council’</w:t>
      </w:r>
      <w:r w:rsidR="00B42F57">
        <w:rPr>
          <w:rFonts w:ascii="Century Gothic" w:eastAsia="Times New Roman" w:hAnsi="Century Gothic" w:cs="Arial"/>
          <w:bCs/>
          <w:color w:val="000000"/>
          <w:lang w:eastAsia="en-AU"/>
        </w:rPr>
        <w:t>s charter: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B42F57" w:rsidRPr="00B42F57" w:rsidRDefault="00B42F57" w:rsidP="009252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i/>
          <w:color w:val="000000"/>
          <w:lang w:eastAsia="en-AU"/>
        </w:rPr>
      </w:pPr>
      <w:r>
        <w:rPr>
          <w:rFonts w:ascii="Century Gothic" w:eastAsia="Times New Roman" w:hAnsi="Century Gothic" w:cs="Arial"/>
          <w:bCs/>
          <w:color w:val="000000"/>
          <w:lang w:eastAsia="en-AU"/>
        </w:rPr>
        <w:t xml:space="preserve">Manage lands and other assets so that current and future local community needs can be met in an affordable way. </w:t>
      </w:r>
    </w:p>
    <w:p w:rsidR="00B42F57" w:rsidRDefault="00B42F57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</w:p>
    <w:p w:rsidR="00CE3792" w:rsidRPr="00CE379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en-AU"/>
        </w:rPr>
      </w:pPr>
      <w:r w:rsidRPr="00CE3792">
        <w:rPr>
          <w:rFonts w:ascii="Century Gothic" w:eastAsia="Times New Roman" w:hAnsi="Century Gothic" w:cs="Arial"/>
          <w:b/>
          <w:bCs/>
          <w:color w:val="000000"/>
          <w:lang w:eastAsia="en-AU"/>
        </w:rPr>
        <w:t>WHETHER THE PLANNING AGREEMENT CONFORMS WITH THE AUTHORITY’S CAPITAL WORKS PROGRAM</w:t>
      </w:r>
    </w:p>
    <w:p w:rsidR="004A6842" w:rsidRDefault="004A684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CE3792" w:rsidRDefault="00CE3792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  <w:r>
        <w:rPr>
          <w:rFonts w:ascii="Century Gothic" w:eastAsia="Times New Roman" w:hAnsi="Century Gothic" w:cs="Arial"/>
          <w:bCs/>
          <w:color w:val="000000"/>
          <w:lang w:eastAsia="en-AU"/>
        </w:rPr>
        <w:t>The Planning Agreement is consistent with Council’s Capital Works Program.</w:t>
      </w:r>
    </w:p>
    <w:p w:rsidR="00254E16" w:rsidRDefault="00254E16" w:rsidP="004A68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  <w:color w:val="000000"/>
          <w:lang w:eastAsia="en-AU"/>
        </w:rPr>
      </w:pPr>
    </w:p>
    <w:p w:rsidR="00746A04" w:rsidRPr="007E0731" w:rsidRDefault="00746A04" w:rsidP="004A6842">
      <w:pPr>
        <w:spacing w:after="0" w:line="240" w:lineRule="auto"/>
      </w:pPr>
    </w:p>
    <w:sectPr w:rsidR="00746A04" w:rsidRPr="007E0731" w:rsidSect="00511FB2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E8" w:rsidRDefault="006108E8">
      <w:r>
        <w:separator/>
      </w:r>
    </w:p>
  </w:endnote>
  <w:endnote w:type="continuationSeparator" w:id="0">
    <w:p w:rsidR="006108E8" w:rsidRDefault="0061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E8" w:rsidRDefault="006108E8" w:rsidP="006108E8">
    <w:pPr>
      <w:pStyle w:val="Footer"/>
    </w:pPr>
    <w:bookmarkStart w:id="1" w:name="PRIMARYFOOTERSPECBEGIN1"/>
    <w:bookmarkEnd w:id="1"/>
    <w:r w:rsidRPr="006108E8">
      <w:rPr>
        <w:rFonts w:ascii="Times New Roman" w:hAnsi="Times New Roman" w:cs="Times New Roman"/>
        <w:sz w:val="14"/>
      </w:rPr>
      <w:t xml:space="preserve">z:\affinity_documents\canter-ban\170687\prmc_ba_005.docx </w:t>
    </w:r>
    <w:bookmarkStart w:id="2" w:name="PRIMARYFOOTERSPECEND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E8" w:rsidRDefault="006108E8">
      <w:r>
        <w:separator/>
      </w:r>
    </w:p>
  </w:footnote>
  <w:footnote w:type="continuationSeparator" w:id="0">
    <w:p w:rsidR="006108E8" w:rsidRDefault="0061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13139977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6842" w:rsidRPr="004A6842" w:rsidRDefault="004A6842">
        <w:pPr>
          <w:pStyle w:val="Header"/>
          <w:jc w:val="center"/>
          <w:rPr>
            <w:rFonts w:ascii="Century Gothic" w:hAnsi="Century Gothic"/>
          </w:rPr>
        </w:pPr>
        <w:r w:rsidRPr="004A6842">
          <w:rPr>
            <w:rFonts w:ascii="Century Gothic" w:hAnsi="Century Gothic"/>
          </w:rPr>
          <w:fldChar w:fldCharType="begin"/>
        </w:r>
        <w:r w:rsidRPr="004A6842">
          <w:rPr>
            <w:rFonts w:ascii="Century Gothic" w:hAnsi="Century Gothic"/>
          </w:rPr>
          <w:instrText xml:space="preserve"> PAGE   \* MERGEFORMAT </w:instrText>
        </w:r>
        <w:r w:rsidRPr="004A6842">
          <w:rPr>
            <w:rFonts w:ascii="Century Gothic" w:hAnsi="Century Gothic"/>
          </w:rPr>
          <w:fldChar w:fldCharType="separate"/>
        </w:r>
        <w:r w:rsidR="0092524B">
          <w:rPr>
            <w:rFonts w:ascii="Century Gothic" w:hAnsi="Century Gothic"/>
            <w:noProof/>
          </w:rPr>
          <w:t>2</w:t>
        </w:r>
        <w:r w:rsidRPr="004A6842">
          <w:rPr>
            <w:rFonts w:ascii="Century Gothic" w:hAnsi="Century Gothic"/>
            <w:noProof/>
          </w:rPr>
          <w:fldChar w:fldCharType="end"/>
        </w:r>
      </w:p>
    </w:sdtContent>
  </w:sdt>
  <w:p w:rsidR="006108E8" w:rsidRPr="004A6842" w:rsidRDefault="006108E8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C8D9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BEF9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D419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146E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F27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27D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A0D1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8B8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90F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C62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813ABE"/>
    <w:multiLevelType w:val="multilevel"/>
    <w:tmpl w:val="8AD6D2E0"/>
    <w:lvl w:ilvl="0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○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72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</w:rPr>
    </w:lvl>
  </w:abstractNum>
  <w:abstractNum w:abstractNumId="11" w15:restartNumberingAfterBreak="0">
    <w:nsid w:val="74094703"/>
    <w:multiLevelType w:val="multilevel"/>
    <w:tmpl w:val="F10A8FEC"/>
    <w:lvl w:ilvl="0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○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72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E8"/>
    <w:rsid w:val="00003632"/>
    <w:rsid w:val="00011BBD"/>
    <w:rsid w:val="000150C1"/>
    <w:rsid w:val="00016855"/>
    <w:rsid w:val="000264F5"/>
    <w:rsid w:val="000327D1"/>
    <w:rsid w:val="00035B36"/>
    <w:rsid w:val="00040CA4"/>
    <w:rsid w:val="00047786"/>
    <w:rsid w:val="000572E6"/>
    <w:rsid w:val="000617C2"/>
    <w:rsid w:val="00073C6C"/>
    <w:rsid w:val="00085DF3"/>
    <w:rsid w:val="00097925"/>
    <w:rsid w:val="000B5C26"/>
    <w:rsid w:val="000F3EDC"/>
    <w:rsid w:val="001072BD"/>
    <w:rsid w:val="00182547"/>
    <w:rsid w:val="00186FD5"/>
    <w:rsid w:val="001A3C59"/>
    <w:rsid w:val="001A4639"/>
    <w:rsid w:val="001A6C2F"/>
    <w:rsid w:val="001B374A"/>
    <w:rsid w:val="001E5B14"/>
    <w:rsid w:val="001E765F"/>
    <w:rsid w:val="00202BA4"/>
    <w:rsid w:val="00220B1F"/>
    <w:rsid w:val="0022119F"/>
    <w:rsid w:val="002535CD"/>
    <w:rsid w:val="00254E16"/>
    <w:rsid w:val="00262FC7"/>
    <w:rsid w:val="00263D25"/>
    <w:rsid w:val="00272333"/>
    <w:rsid w:val="00296C47"/>
    <w:rsid w:val="002A2956"/>
    <w:rsid w:val="002D2184"/>
    <w:rsid w:val="002F5792"/>
    <w:rsid w:val="00304D8B"/>
    <w:rsid w:val="003211EC"/>
    <w:rsid w:val="003259CE"/>
    <w:rsid w:val="00335DC1"/>
    <w:rsid w:val="003460E6"/>
    <w:rsid w:val="00355D36"/>
    <w:rsid w:val="00371492"/>
    <w:rsid w:val="00376A6B"/>
    <w:rsid w:val="003827C9"/>
    <w:rsid w:val="00384B6A"/>
    <w:rsid w:val="00395883"/>
    <w:rsid w:val="003976DA"/>
    <w:rsid w:val="003C01AD"/>
    <w:rsid w:val="003C12DB"/>
    <w:rsid w:val="003C31FA"/>
    <w:rsid w:val="003D71E5"/>
    <w:rsid w:val="00412B5A"/>
    <w:rsid w:val="004227C9"/>
    <w:rsid w:val="00441657"/>
    <w:rsid w:val="00483552"/>
    <w:rsid w:val="004849F7"/>
    <w:rsid w:val="00487119"/>
    <w:rsid w:val="00495695"/>
    <w:rsid w:val="00495818"/>
    <w:rsid w:val="004A2F14"/>
    <w:rsid w:val="004A6842"/>
    <w:rsid w:val="004D262F"/>
    <w:rsid w:val="004E103E"/>
    <w:rsid w:val="004E1EBE"/>
    <w:rsid w:val="0050255D"/>
    <w:rsid w:val="005035EB"/>
    <w:rsid w:val="00511FB2"/>
    <w:rsid w:val="00530D00"/>
    <w:rsid w:val="0054231B"/>
    <w:rsid w:val="00585F8F"/>
    <w:rsid w:val="005A3A29"/>
    <w:rsid w:val="005F2BA2"/>
    <w:rsid w:val="005F5589"/>
    <w:rsid w:val="00601066"/>
    <w:rsid w:val="006031B1"/>
    <w:rsid w:val="006108E8"/>
    <w:rsid w:val="00676878"/>
    <w:rsid w:val="006A07B2"/>
    <w:rsid w:val="006A2528"/>
    <w:rsid w:val="006A4D64"/>
    <w:rsid w:val="006A5FCE"/>
    <w:rsid w:val="006B622A"/>
    <w:rsid w:val="006C2F4F"/>
    <w:rsid w:val="006C752A"/>
    <w:rsid w:val="006F1019"/>
    <w:rsid w:val="0070718D"/>
    <w:rsid w:val="00707E60"/>
    <w:rsid w:val="00722EAC"/>
    <w:rsid w:val="00730934"/>
    <w:rsid w:val="00734A06"/>
    <w:rsid w:val="00746A04"/>
    <w:rsid w:val="00754364"/>
    <w:rsid w:val="007646A4"/>
    <w:rsid w:val="007741C2"/>
    <w:rsid w:val="00786016"/>
    <w:rsid w:val="007B5D29"/>
    <w:rsid w:val="007B6AC0"/>
    <w:rsid w:val="007C541B"/>
    <w:rsid w:val="007D6DC2"/>
    <w:rsid w:val="007E0731"/>
    <w:rsid w:val="007F75BC"/>
    <w:rsid w:val="00805837"/>
    <w:rsid w:val="00886670"/>
    <w:rsid w:val="008877A8"/>
    <w:rsid w:val="008A3B2E"/>
    <w:rsid w:val="008F1FC4"/>
    <w:rsid w:val="0090668F"/>
    <w:rsid w:val="00913A9B"/>
    <w:rsid w:val="0092524B"/>
    <w:rsid w:val="00926C47"/>
    <w:rsid w:val="009353B5"/>
    <w:rsid w:val="009438D7"/>
    <w:rsid w:val="00946E5A"/>
    <w:rsid w:val="009623D9"/>
    <w:rsid w:val="0098601A"/>
    <w:rsid w:val="009A0EF0"/>
    <w:rsid w:val="009F52E6"/>
    <w:rsid w:val="00A019C9"/>
    <w:rsid w:val="00A06928"/>
    <w:rsid w:val="00A12970"/>
    <w:rsid w:val="00A158D2"/>
    <w:rsid w:val="00A43656"/>
    <w:rsid w:val="00A44800"/>
    <w:rsid w:val="00A5003B"/>
    <w:rsid w:val="00A61963"/>
    <w:rsid w:val="00A81590"/>
    <w:rsid w:val="00A81717"/>
    <w:rsid w:val="00AA369C"/>
    <w:rsid w:val="00AA42CE"/>
    <w:rsid w:val="00AB3C11"/>
    <w:rsid w:val="00AC718E"/>
    <w:rsid w:val="00AF5331"/>
    <w:rsid w:val="00B006C7"/>
    <w:rsid w:val="00B207EC"/>
    <w:rsid w:val="00B207EE"/>
    <w:rsid w:val="00B2334E"/>
    <w:rsid w:val="00B24658"/>
    <w:rsid w:val="00B42F57"/>
    <w:rsid w:val="00B73C11"/>
    <w:rsid w:val="00B77A0A"/>
    <w:rsid w:val="00B911EC"/>
    <w:rsid w:val="00BA46E4"/>
    <w:rsid w:val="00BB0557"/>
    <w:rsid w:val="00BE380B"/>
    <w:rsid w:val="00BF3967"/>
    <w:rsid w:val="00C11036"/>
    <w:rsid w:val="00C4536A"/>
    <w:rsid w:val="00C4568D"/>
    <w:rsid w:val="00C46A9C"/>
    <w:rsid w:val="00C51889"/>
    <w:rsid w:val="00C56434"/>
    <w:rsid w:val="00C5643E"/>
    <w:rsid w:val="00C56626"/>
    <w:rsid w:val="00C56EAA"/>
    <w:rsid w:val="00C73529"/>
    <w:rsid w:val="00CB0ED9"/>
    <w:rsid w:val="00CB37B6"/>
    <w:rsid w:val="00CB5255"/>
    <w:rsid w:val="00CE3792"/>
    <w:rsid w:val="00CF55F4"/>
    <w:rsid w:val="00D33BE0"/>
    <w:rsid w:val="00D5165C"/>
    <w:rsid w:val="00D51CAD"/>
    <w:rsid w:val="00D542E1"/>
    <w:rsid w:val="00DA243B"/>
    <w:rsid w:val="00DB3546"/>
    <w:rsid w:val="00DC4021"/>
    <w:rsid w:val="00DD3B53"/>
    <w:rsid w:val="00DE0142"/>
    <w:rsid w:val="00DE1D28"/>
    <w:rsid w:val="00DE2F1F"/>
    <w:rsid w:val="00E01051"/>
    <w:rsid w:val="00E224E2"/>
    <w:rsid w:val="00E235D8"/>
    <w:rsid w:val="00E433F7"/>
    <w:rsid w:val="00E522A5"/>
    <w:rsid w:val="00E60DD9"/>
    <w:rsid w:val="00E659C1"/>
    <w:rsid w:val="00E751E4"/>
    <w:rsid w:val="00E761A2"/>
    <w:rsid w:val="00E8038A"/>
    <w:rsid w:val="00E91437"/>
    <w:rsid w:val="00E95073"/>
    <w:rsid w:val="00E95FE9"/>
    <w:rsid w:val="00EB143A"/>
    <w:rsid w:val="00EC32E1"/>
    <w:rsid w:val="00ED6F57"/>
    <w:rsid w:val="00EF00C3"/>
    <w:rsid w:val="00EF5CEB"/>
    <w:rsid w:val="00F059CA"/>
    <w:rsid w:val="00F20503"/>
    <w:rsid w:val="00F50C34"/>
    <w:rsid w:val="00F650C8"/>
    <w:rsid w:val="00F662AF"/>
    <w:rsid w:val="00F75909"/>
    <w:rsid w:val="00F819CF"/>
    <w:rsid w:val="00F92898"/>
    <w:rsid w:val="00FA0A24"/>
    <w:rsid w:val="00FC7A00"/>
    <w:rsid w:val="00FD6860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88D250"/>
  <w15:chartTrackingRefBased/>
  <w15:docId w15:val="{704F818E-3654-4CB1-A1A0-7033993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8E8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sid w:val="00DE1D28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sid w:val="00DE1D28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DE1D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1D28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DE1D28"/>
    <w:pPr>
      <w:ind w:left="284" w:hanging="284"/>
    </w:pPr>
  </w:style>
  <w:style w:type="paragraph" w:styleId="List2">
    <w:name w:val="List 2"/>
    <w:basedOn w:val="Normal"/>
    <w:rsid w:val="00DE1D28"/>
    <w:pPr>
      <w:ind w:left="568" w:hanging="284"/>
    </w:pPr>
  </w:style>
  <w:style w:type="paragraph" w:styleId="List3">
    <w:name w:val="List 3"/>
    <w:basedOn w:val="Normal"/>
    <w:rsid w:val="00DE1D28"/>
    <w:pPr>
      <w:ind w:left="851" w:hanging="284"/>
    </w:pPr>
  </w:style>
  <w:style w:type="paragraph" w:styleId="List4">
    <w:name w:val="List 4"/>
    <w:basedOn w:val="Normal"/>
    <w:rsid w:val="00DE1D28"/>
    <w:pPr>
      <w:ind w:left="1135" w:hanging="284"/>
    </w:pPr>
  </w:style>
  <w:style w:type="paragraph" w:styleId="List5">
    <w:name w:val="List 5"/>
    <w:basedOn w:val="Normal"/>
    <w:rsid w:val="00DE1D28"/>
    <w:pPr>
      <w:ind w:left="1418" w:hanging="284"/>
    </w:pPr>
  </w:style>
  <w:style w:type="paragraph" w:styleId="ListBullet">
    <w:name w:val="List Bullet"/>
    <w:basedOn w:val="Normal"/>
    <w:rsid w:val="00DE1D28"/>
    <w:pPr>
      <w:numPr>
        <w:numId w:val="1"/>
      </w:numPr>
    </w:pPr>
  </w:style>
  <w:style w:type="paragraph" w:styleId="ListBullet2">
    <w:name w:val="List Bullet 2"/>
    <w:basedOn w:val="Normal"/>
    <w:rsid w:val="00DE1D28"/>
    <w:pPr>
      <w:numPr>
        <w:numId w:val="3"/>
      </w:numPr>
    </w:pPr>
  </w:style>
  <w:style w:type="paragraph" w:styleId="ListBullet3">
    <w:name w:val="List Bullet 3"/>
    <w:basedOn w:val="Normal"/>
    <w:rsid w:val="00DE1D28"/>
    <w:pPr>
      <w:numPr>
        <w:numId w:val="4"/>
      </w:numPr>
    </w:pPr>
  </w:style>
  <w:style w:type="paragraph" w:styleId="ListBullet4">
    <w:name w:val="List Bullet 4"/>
    <w:basedOn w:val="Normal"/>
    <w:rsid w:val="00DE1D28"/>
    <w:pPr>
      <w:numPr>
        <w:numId w:val="5"/>
      </w:numPr>
    </w:pPr>
  </w:style>
  <w:style w:type="paragraph" w:styleId="ListBullet5">
    <w:name w:val="List Bullet 5"/>
    <w:basedOn w:val="Normal"/>
    <w:rsid w:val="00DE1D28"/>
    <w:pPr>
      <w:numPr>
        <w:numId w:val="6"/>
      </w:numPr>
    </w:pPr>
  </w:style>
  <w:style w:type="paragraph" w:styleId="ListContinue">
    <w:name w:val="List Continue"/>
    <w:basedOn w:val="Normal"/>
    <w:rsid w:val="00DE1D28"/>
    <w:pPr>
      <w:spacing w:after="120"/>
      <w:ind w:left="284"/>
    </w:pPr>
  </w:style>
  <w:style w:type="paragraph" w:styleId="ListContinue2">
    <w:name w:val="List Continue 2"/>
    <w:basedOn w:val="Normal"/>
    <w:rsid w:val="00DE1D28"/>
    <w:pPr>
      <w:spacing w:after="120"/>
      <w:ind w:left="567"/>
    </w:pPr>
  </w:style>
  <w:style w:type="paragraph" w:styleId="ListContinue3">
    <w:name w:val="List Continue 3"/>
    <w:basedOn w:val="Normal"/>
    <w:rsid w:val="00DE1D28"/>
    <w:pPr>
      <w:spacing w:after="120"/>
      <w:ind w:left="851"/>
    </w:pPr>
  </w:style>
  <w:style w:type="paragraph" w:styleId="ListContinue4">
    <w:name w:val="List Continue 4"/>
    <w:basedOn w:val="Normal"/>
    <w:rsid w:val="00DE1D28"/>
    <w:pPr>
      <w:spacing w:after="120"/>
      <w:ind w:left="1134"/>
    </w:pPr>
  </w:style>
  <w:style w:type="paragraph" w:styleId="ListNumber">
    <w:name w:val="List Number"/>
    <w:basedOn w:val="Normal"/>
    <w:rsid w:val="00DE1D28"/>
    <w:pPr>
      <w:numPr>
        <w:numId w:val="2"/>
      </w:numPr>
    </w:pPr>
  </w:style>
  <w:style w:type="paragraph" w:styleId="ListNumber2">
    <w:name w:val="List Number 2"/>
    <w:basedOn w:val="Normal"/>
    <w:rsid w:val="00DE1D28"/>
    <w:pPr>
      <w:numPr>
        <w:numId w:val="7"/>
      </w:numPr>
    </w:pPr>
  </w:style>
  <w:style w:type="paragraph" w:styleId="ListNumber3">
    <w:name w:val="List Number 3"/>
    <w:basedOn w:val="Normal"/>
    <w:rsid w:val="00DE1D28"/>
    <w:pPr>
      <w:numPr>
        <w:numId w:val="8"/>
      </w:numPr>
    </w:pPr>
  </w:style>
  <w:style w:type="paragraph" w:styleId="ListNumber4">
    <w:name w:val="List Number 4"/>
    <w:basedOn w:val="Normal"/>
    <w:rsid w:val="00DE1D28"/>
    <w:pPr>
      <w:numPr>
        <w:numId w:val="9"/>
      </w:numPr>
    </w:pPr>
  </w:style>
  <w:style w:type="paragraph" w:styleId="ListNumber5">
    <w:name w:val="List Number 5"/>
    <w:basedOn w:val="Normal"/>
    <w:rsid w:val="00DE1D28"/>
    <w:pPr>
      <w:numPr>
        <w:numId w:val="10"/>
      </w:numPr>
    </w:pPr>
  </w:style>
  <w:style w:type="paragraph" w:styleId="ListContinue5">
    <w:name w:val="List Continue 5"/>
    <w:basedOn w:val="Normal"/>
    <w:rsid w:val="00DE1D28"/>
    <w:pPr>
      <w:spacing w:after="120"/>
      <w:ind w:left="1418"/>
    </w:pPr>
  </w:style>
  <w:style w:type="paragraph" w:styleId="ListParagraph">
    <w:name w:val="List Paragraph"/>
    <w:basedOn w:val="Normal"/>
    <w:uiPriority w:val="34"/>
    <w:qFormat/>
    <w:rsid w:val="00DE1D28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A6842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PVG Office Services Trust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Armstrong</dc:creator>
  <cp:keywords/>
  <dc:description/>
  <cp:lastModifiedBy>Bridget Armstrong</cp:lastModifiedBy>
  <cp:revision>16</cp:revision>
  <cp:lastPrinted>2017-11-01T00:54:00Z</cp:lastPrinted>
  <dcterms:created xsi:type="dcterms:W3CDTF">2017-10-31T22:28:00Z</dcterms:created>
  <dcterms:modified xsi:type="dcterms:W3CDTF">2017-11-01T01:48:00Z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170687</vt:lpwstr>
  </property>
  <property fmtid="{D5CDD505-2E9C-101B-9397-08002B2CF9AE}" pid="3" name="DM_CLIENT">
    <vt:lpwstr>CANT0003</vt:lpwstr>
  </property>
  <property fmtid="{D5CDD505-2E9C-101B-9397-08002B2CF9AE}" pid="4" name="DM_AUTHOR">
    <vt:lpwstr>RMC</vt:lpwstr>
  </property>
  <property fmtid="{D5CDD505-2E9C-101B-9397-08002B2CF9AE}" pid="5" name="DM_OPERATOR">
    <vt:lpwstr>BA</vt:lpwstr>
  </property>
  <property fmtid="{D5CDD505-2E9C-101B-9397-08002B2CF9AE}" pid="6" name="DM_DESCRIPTION">
    <vt:lpwstr>Explanatory Note VPA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PRMC_BA_005.docx</vt:lpwstr>
  </property>
  <property fmtid="{D5CDD505-2E9C-101B-9397-08002B2CF9AE}" pid="14" name="DM_PHONEBOOK">
    <vt:lpwstr>Canterbury-Bankstown City Council</vt:lpwstr>
  </property>
  <property fmtid="{D5CDD505-2E9C-101B-9397-08002B2CF9AE}" pid="15" name="DM_AFTYDOCID">
    <vt:i4>543690</vt:i4>
  </property>
</Properties>
</file>